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B06499" w14:textId="2C63A27F" w:rsidR="00C05A90" w:rsidRPr="00C05A90" w:rsidRDefault="00C05A90" w:rsidP="00C05A90">
      <w:pPr>
        <w:shd w:val="clear" w:color="auto" w:fill="FFFFFF"/>
        <w:spacing w:before="319" w:after="319" w:line="300" w:lineRule="atLeast"/>
        <w:outlineLvl w:val="3"/>
        <w:rPr>
          <w:rFonts w:eastAsia="Times New Roman" w:cstheme="minorHAnsi"/>
          <w:color w:val="494C4E"/>
          <w:spacing w:val="3"/>
          <w:sz w:val="24"/>
          <w:szCs w:val="24"/>
        </w:rPr>
      </w:pPr>
      <w:r w:rsidRPr="00C05A90">
        <w:rPr>
          <w:rFonts w:eastAsia="Times New Roman" w:cstheme="minorHAnsi"/>
          <w:color w:val="494C4E"/>
          <w:spacing w:val="3"/>
          <w:sz w:val="24"/>
          <w:szCs w:val="24"/>
        </w:rPr>
        <w:t>Answer Posts</w:t>
      </w:r>
      <w:r w:rsidR="00C13AF2">
        <w:rPr>
          <w:rFonts w:eastAsia="Times New Roman" w:cstheme="minorHAnsi"/>
          <w:color w:val="494C4E"/>
          <w:spacing w:val="3"/>
          <w:sz w:val="24"/>
          <w:szCs w:val="24"/>
        </w:rPr>
        <w:t xml:space="preserve"> Requirements</w:t>
      </w:r>
      <w:r w:rsidRPr="00C05A90">
        <w:rPr>
          <w:rFonts w:eastAsia="Times New Roman" w:cstheme="minorHAnsi"/>
          <w:color w:val="494C4E"/>
          <w:spacing w:val="3"/>
          <w:sz w:val="24"/>
          <w:szCs w:val="24"/>
        </w:rPr>
        <w:t>:</w:t>
      </w:r>
    </w:p>
    <w:p w14:paraId="1F10076B"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 xml:space="preserve">Approach is to give an answer to a topic's question or discussion </w:t>
      </w:r>
      <w:proofErr w:type="gramStart"/>
      <w:r w:rsidRPr="00C05A90">
        <w:rPr>
          <w:rFonts w:eastAsia="Times New Roman" w:cstheme="minorHAnsi"/>
          <w:color w:val="494C4E"/>
          <w:spacing w:val="3"/>
          <w:sz w:val="24"/>
          <w:szCs w:val="24"/>
        </w:rPr>
        <w:t>prompt</w:t>
      </w:r>
      <w:proofErr w:type="gramEnd"/>
    </w:p>
    <w:p w14:paraId="44F95270"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 xml:space="preserve">Prepare an answer post for each of the two discussion topics in a </w:t>
      </w:r>
      <w:proofErr w:type="gramStart"/>
      <w:r w:rsidRPr="00C05A90">
        <w:rPr>
          <w:rFonts w:eastAsia="Times New Roman" w:cstheme="minorHAnsi"/>
          <w:color w:val="494C4E"/>
          <w:spacing w:val="3"/>
          <w:sz w:val="24"/>
          <w:szCs w:val="24"/>
        </w:rPr>
        <w:t>Module</w:t>
      </w:r>
      <w:proofErr w:type="gramEnd"/>
    </w:p>
    <w:p w14:paraId="2BDC5FDD"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 xml:space="preserve">Should be at least 150 words in </w:t>
      </w:r>
      <w:proofErr w:type="gramStart"/>
      <w:r w:rsidRPr="00C05A90">
        <w:rPr>
          <w:rFonts w:eastAsia="Times New Roman" w:cstheme="minorHAnsi"/>
          <w:color w:val="494C4E"/>
          <w:spacing w:val="3"/>
          <w:sz w:val="24"/>
          <w:szCs w:val="24"/>
        </w:rPr>
        <w:t>length</w:t>
      </w:r>
      <w:proofErr w:type="gramEnd"/>
    </w:p>
    <w:p w14:paraId="40567E92"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Incorporate at least two information sources into an answer post. The aim is to bring objectivity or support to positions taken. Answer posts are not purely opinion pieces. Sources can be from assigned reading or your own research.</w:t>
      </w:r>
    </w:p>
    <w:p w14:paraId="51428659"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Source should be cited in the text of your answer post to signal to readers how the source was used.</w:t>
      </w:r>
    </w:p>
    <w:p w14:paraId="0028DFF9"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Source should be fully cited at the end of the post. APA style is recommended.</w:t>
      </w:r>
    </w:p>
    <w:p w14:paraId="3B250C8E"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Click "Start a New Thread" to make an answer post.</w:t>
      </w:r>
    </w:p>
    <w:p w14:paraId="175F66CD"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Title your post in a way that summarizes content or position taken.</w:t>
      </w:r>
    </w:p>
    <w:p w14:paraId="41F785B6"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Sign your post with your first name at the end of your text and before source citation. (- Randy)</w:t>
      </w:r>
    </w:p>
    <w:p w14:paraId="4FD17CA5"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When composing answer post, strive to incorporate relevant concepts or theories from assigned readings (it is a criterion on the rubric used to evaluate discussion posts).</w:t>
      </w:r>
    </w:p>
    <w:p w14:paraId="32A7A481"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Virtually all discussion prompts require you take a position or express a view as part of your answer post. Evidence of critical thinking that supports your response is another element of the grading rubric.</w:t>
      </w:r>
    </w:p>
    <w:p w14:paraId="645EA52E"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Writing style to strive to use should strike a balance between formal and conversational style. Ultimately, it is "discussion" between you and others, so it need not be written like a term paper. Be sure it is not written like a text message, either.</w:t>
      </w:r>
    </w:p>
    <w:p w14:paraId="1DF3B805" w14:textId="77777777" w:rsidR="00C05A90" w:rsidRPr="00C05A90" w:rsidRDefault="00C05A90" w:rsidP="00C05A90">
      <w:pPr>
        <w:numPr>
          <w:ilvl w:val="0"/>
          <w:numId w:val="1"/>
        </w:numPr>
        <w:spacing w:after="0" w:line="240" w:lineRule="auto"/>
        <w:rPr>
          <w:rFonts w:eastAsia="Times New Roman" w:cstheme="minorHAnsi"/>
          <w:color w:val="494C4E"/>
          <w:spacing w:val="3"/>
          <w:sz w:val="24"/>
          <w:szCs w:val="24"/>
        </w:rPr>
      </w:pPr>
      <w:r w:rsidRPr="00C05A90">
        <w:rPr>
          <w:rFonts w:eastAsia="Times New Roman" w:cstheme="minorHAnsi"/>
          <w:color w:val="494C4E"/>
          <w:spacing w:val="3"/>
          <w:sz w:val="24"/>
          <w:szCs w:val="24"/>
        </w:rPr>
        <w:t>Answer posts are due by 11:59 p.m. on Tuesdays. See module checklists for dates of a discussion topic to confirm deadline.</w:t>
      </w:r>
    </w:p>
    <w:p w14:paraId="6F898131" w14:textId="348501B3" w:rsidR="00CF78A7" w:rsidRDefault="00CF78A7"/>
    <w:p w14:paraId="6D9F0C1D" w14:textId="0D91209E" w:rsidR="00C05A90" w:rsidRDefault="00C05A90"/>
    <w:p w14:paraId="139D0BBE" w14:textId="0AD8304C" w:rsidR="00C05A90" w:rsidRDefault="00C05A90"/>
    <w:p w14:paraId="22C196E6" w14:textId="77C6AD60" w:rsidR="00C05A90" w:rsidRDefault="00C05A90"/>
    <w:p w14:paraId="1BF62214" w14:textId="4C8629D0" w:rsidR="00C05A90" w:rsidRDefault="00C05A90"/>
    <w:p w14:paraId="51FEF484" w14:textId="3CF751A2" w:rsidR="00C05A90" w:rsidRDefault="00C05A90"/>
    <w:p w14:paraId="770379FB" w14:textId="5B6B92FC" w:rsidR="00C05A90" w:rsidRDefault="00C05A90"/>
    <w:p w14:paraId="48F2B0AD" w14:textId="2170C29A" w:rsidR="00C05A90" w:rsidRDefault="00C05A90"/>
    <w:p w14:paraId="7DE65B0B" w14:textId="093FB1AE" w:rsidR="00C05A90" w:rsidRDefault="00C05A90"/>
    <w:p w14:paraId="6B901D46" w14:textId="77777777" w:rsidR="00C05A90" w:rsidRDefault="00C05A90"/>
    <w:p w14:paraId="70DE9AE5" w14:textId="26E94305" w:rsidR="00C05A90" w:rsidRDefault="00C05A90"/>
    <w:p w14:paraId="5DBCEC29" w14:textId="1B804D50" w:rsidR="00C05A90" w:rsidRPr="00C05A90" w:rsidRDefault="00C05A90">
      <w:pPr>
        <w:rPr>
          <w:b/>
          <w:bCs/>
        </w:rPr>
      </w:pPr>
      <w:r w:rsidRPr="00C05A90">
        <w:rPr>
          <w:b/>
          <w:bCs/>
        </w:rPr>
        <w:lastRenderedPageBreak/>
        <w:t xml:space="preserve">Module 2 Discussion: The Graying of America as a Market Opportunity </w:t>
      </w:r>
    </w:p>
    <w:p w14:paraId="3EF5E9FA" w14:textId="77777777" w:rsidR="00C05A90" w:rsidRPr="00C05A90" w:rsidRDefault="00C05A90" w:rsidP="00C05A90">
      <w:pPr>
        <w:shd w:val="clear" w:color="auto" w:fill="FFFFFF"/>
        <w:spacing w:after="0" w:line="240" w:lineRule="auto"/>
        <w:rPr>
          <w:rFonts w:eastAsia="Times New Roman" w:cstheme="minorHAnsi"/>
          <w:color w:val="494C4E"/>
          <w:spacing w:val="3"/>
        </w:rPr>
      </w:pPr>
      <w:r w:rsidRPr="00C05A90">
        <w:rPr>
          <w:rFonts w:eastAsia="Times New Roman" w:cstheme="minorHAnsi"/>
          <w:color w:val="494C4E"/>
          <w:spacing w:val="3"/>
          <w:bdr w:val="none" w:sz="0" w:space="0" w:color="auto" w:frame="1"/>
        </w:rPr>
        <w:t>One of the most significant socio-cultural trends that businesses are observing is the "graying" of the baby boomer population. This demographic group has long been coveted because of their willingness to consume. However, as boomers have aged, it was feared that older consumers would be more difficult to serve.</w:t>
      </w:r>
    </w:p>
    <w:p w14:paraId="7B1DFAFA" w14:textId="77777777" w:rsidR="00C05A90" w:rsidRPr="00C05A90" w:rsidRDefault="00C05A90" w:rsidP="00C05A90">
      <w:pPr>
        <w:shd w:val="clear" w:color="auto" w:fill="FFFFFF"/>
        <w:spacing w:after="0" w:line="240" w:lineRule="auto"/>
        <w:rPr>
          <w:rFonts w:eastAsia="Times New Roman" w:cstheme="minorHAnsi"/>
          <w:color w:val="494C4E"/>
          <w:spacing w:val="3"/>
        </w:rPr>
      </w:pPr>
      <w:r w:rsidRPr="00C05A90">
        <w:rPr>
          <w:rFonts w:eastAsia="Times New Roman" w:cstheme="minorHAnsi"/>
          <w:color w:val="494C4E"/>
          <w:spacing w:val="3"/>
          <w:bdr w:val="none" w:sz="0" w:space="0" w:color="auto" w:frame="1"/>
        </w:rPr>
        <w:t>Not so, according to aging expert Paul Irving. In his article </w:t>
      </w:r>
      <w:hyperlink r:id="rId5" w:anchor="59c6746d7a77" w:tgtFrame="_blank" w:history="1">
        <w:r w:rsidRPr="00C05A90">
          <w:rPr>
            <w:rFonts w:eastAsia="Times New Roman" w:cstheme="minorHAnsi"/>
            <w:color w:val="006FBF"/>
            <w:spacing w:val="3"/>
            <w:u w:val="single"/>
            <w:bdr w:val="none" w:sz="0" w:space="0" w:color="auto" w:frame="1"/>
          </w:rPr>
          <w:t>"Aging Popula</w:t>
        </w:r>
        <w:r w:rsidRPr="00C05A90">
          <w:rPr>
            <w:rFonts w:eastAsia="Times New Roman" w:cstheme="minorHAnsi"/>
            <w:color w:val="006FBF"/>
            <w:spacing w:val="3"/>
            <w:u w:val="single"/>
            <w:bdr w:val="none" w:sz="0" w:space="0" w:color="auto" w:frame="1"/>
          </w:rPr>
          <w:t>t</w:t>
        </w:r>
        <w:r w:rsidRPr="00C05A90">
          <w:rPr>
            <w:rFonts w:eastAsia="Times New Roman" w:cstheme="minorHAnsi"/>
            <w:color w:val="006FBF"/>
            <w:spacing w:val="3"/>
            <w:u w:val="single"/>
            <w:bdr w:val="none" w:sz="0" w:space="0" w:color="auto" w:frame="1"/>
          </w:rPr>
          <w:t>ions: A Blessing for Business"</w:t>
        </w:r>
      </w:hyperlink>
      <w:r w:rsidRPr="00C05A90">
        <w:rPr>
          <w:rFonts w:eastAsia="Times New Roman" w:cstheme="minorHAnsi"/>
          <w:color w:val="494C4E"/>
          <w:spacing w:val="3"/>
          <w:bdr w:val="none" w:sz="0" w:space="0" w:color="auto" w:frame="1"/>
        </w:rPr>
        <w:t>, he talks about the needs of this significant demographic and addresses some widely held myths about older consumers.</w:t>
      </w:r>
    </w:p>
    <w:p w14:paraId="48323CE2" w14:textId="77777777" w:rsidR="00C05A90" w:rsidRPr="00C05A90" w:rsidRDefault="00C05A90" w:rsidP="00C05A90">
      <w:pPr>
        <w:numPr>
          <w:ilvl w:val="0"/>
          <w:numId w:val="2"/>
        </w:numPr>
        <w:spacing w:after="0" w:line="240" w:lineRule="auto"/>
        <w:rPr>
          <w:rFonts w:eastAsia="Times New Roman" w:cstheme="minorHAnsi"/>
          <w:color w:val="494C4E"/>
          <w:spacing w:val="3"/>
        </w:rPr>
      </w:pPr>
      <w:r w:rsidRPr="00C05A90">
        <w:rPr>
          <w:rFonts w:eastAsia="Times New Roman" w:cstheme="minorHAnsi"/>
          <w:color w:val="494C4E"/>
          <w:spacing w:val="3"/>
          <w:bdr w:val="none" w:sz="0" w:space="0" w:color="auto" w:frame="1"/>
        </w:rPr>
        <w:t>Identify an industry that could seize the opportunity to create products or services that appeal to the desires and meets the needs of Baby Boomers. Why is this industry poised to serve this demographic segment?</w:t>
      </w:r>
    </w:p>
    <w:p w14:paraId="2422C3D7" w14:textId="25BBBA30" w:rsidR="00C05A90" w:rsidRDefault="00C05A90"/>
    <w:p w14:paraId="2DE27A23" w14:textId="12C0080F" w:rsidR="00C05A90" w:rsidRDefault="00C05A90"/>
    <w:p w14:paraId="6C01E437" w14:textId="3B9CCA51" w:rsidR="00C05A90" w:rsidRPr="00C05A90" w:rsidRDefault="00C05A90">
      <w:pPr>
        <w:rPr>
          <w:b/>
          <w:bCs/>
        </w:rPr>
      </w:pPr>
      <w:r w:rsidRPr="00C05A90">
        <w:rPr>
          <w:b/>
          <w:bCs/>
        </w:rPr>
        <w:t>Module 2 Discussion: Design of Customer Experience as a Source of Competitive Advantage?</w:t>
      </w:r>
    </w:p>
    <w:p w14:paraId="7B54B245" w14:textId="77777777" w:rsidR="00C05A90" w:rsidRPr="00C05A90" w:rsidRDefault="00C05A90" w:rsidP="00C05A90">
      <w:pPr>
        <w:shd w:val="clear" w:color="auto" w:fill="FFFFFF"/>
        <w:spacing w:after="0" w:line="240" w:lineRule="auto"/>
        <w:rPr>
          <w:rFonts w:eastAsia="Times New Roman" w:cstheme="minorHAnsi"/>
          <w:color w:val="494C4E"/>
          <w:spacing w:val="3"/>
        </w:rPr>
      </w:pPr>
      <w:r w:rsidRPr="00C05A90">
        <w:rPr>
          <w:rFonts w:eastAsia="Times New Roman" w:cstheme="minorHAnsi"/>
          <w:color w:val="494C4E"/>
          <w:spacing w:val="3"/>
          <w:bdr w:val="none" w:sz="0" w:space="0" w:color="auto" w:frame="1"/>
        </w:rPr>
        <w:t>Exhibit 4.8 presents Treacy and Wiersema's sources of competitive advantage. Operational excellence, product leadership, and customer intimacy are three means to the same end (i.e., advantageous brand differentiation).</w:t>
      </w:r>
    </w:p>
    <w:p w14:paraId="7B480649" w14:textId="77777777" w:rsidR="00C05A90" w:rsidRPr="00C05A90" w:rsidRDefault="00C05A90" w:rsidP="00C05A90">
      <w:pPr>
        <w:shd w:val="clear" w:color="auto" w:fill="FFFFFF"/>
        <w:spacing w:after="0" w:line="240" w:lineRule="auto"/>
        <w:rPr>
          <w:rFonts w:eastAsia="Times New Roman" w:cstheme="minorHAnsi"/>
          <w:color w:val="494C4E"/>
          <w:spacing w:val="3"/>
        </w:rPr>
      </w:pPr>
      <w:r w:rsidRPr="00C05A90">
        <w:rPr>
          <w:rFonts w:eastAsia="Times New Roman" w:cstheme="minorHAnsi"/>
          <w:color w:val="494C4E"/>
          <w:spacing w:val="3"/>
          <w:bdr w:val="none" w:sz="0" w:space="0" w:color="auto" w:frame="1"/>
        </w:rPr>
        <w:t>According to marketing professional Jana Barrett in the article </w:t>
      </w:r>
      <w:hyperlink r:id="rId6" w:tgtFrame="_blank" w:history="1">
        <w:r w:rsidRPr="00C05A90">
          <w:rPr>
            <w:rFonts w:eastAsia="Times New Roman" w:cstheme="minorHAnsi"/>
            <w:color w:val="006FBF"/>
            <w:spacing w:val="3"/>
            <w:u w:val="single"/>
            <w:bdr w:val="none" w:sz="0" w:space="0" w:color="auto" w:frame="1"/>
          </w:rPr>
          <w:t>"Why Customer Experience is the New Competitive Advantage,"</w:t>
        </w:r>
      </w:hyperlink>
      <w:r w:rsidRPr="00C05A90">
        <w:rPr>
          <w:rFonts w:eastAsia="Times New Roman" w:cstheme="minorHAnsi"/>
          <w:color w:val="494C4E"/>
          <w:spacing w:val="3"/>
          <w:bdr w:val="none" w:sz="0" w:space="0" w:color="auto" w:frame="1"/>
        </w:rPr>
        <w:t> a fourth strategy for developing a competitive advantage exists: design of customer experience. Whether you sell products or services, design of how customers interact with and use your offering can set apart your brand from competitors.</w:t>
      </w:r>
    </w:p>
    <w:p w14:paraId="15261D3A" w14:textId="77777777" w:rsidR="00C05A90" w:rsidRPr="00C05A90" w:rsidRDefault="00C05A90" w:rsidP="00C05A90">
      <w:pPr>
        <w:numPr>
          <w:ilvl w:val="0"/>
          <w:numId w:val="3"/>
        </w:numPr>
        <w:spacing w:after="0" w:line="240" w:lineRule="auto"/>
        <w:rPr>
          <w:rFonts w:eastAsia="Times New Roman" w:cstheme="minorHAnsi"/>
          <w:color w:val="494C4E"/>
          <w:spacing w:val="3"/>
        </w:rPr>
      </w:pPr>
      <w:r w:rsidRPr="00C05A90">
        <w:rPr>
          <w:rFonts w:eastAsia="Times New Roman" w:cstheme="minorHAnsi"/>
          <w:color w:val="494C4E"/>
          <w:spacing w:val="3"/>
          <w:bdr w:val="none" w:sz="0" w:space="0" w:color="auto" w:frame="1"/>
        </w:rPr>
        <w:t>Do you agree with Barrett's position that design of the customer experience can be the basis of a competitive advantage that is distinct from operational excellence, product leadership, and customer intimacy? Explain your position.</w:t>
      </w:r>
    </w:p>
    <w:p w14:paraId="090A4C03" w14:textId="25C23781" w:rsidR="00C05A90" w:rsidRDefault="00C05A90"/>
    <w:p w14:paraId="26D81B2B" w14:textId="5CBBFF32" w:rsidR="006D71C0" w:rsidRPr="006D71C0" w:rsidRDefault="006D71C0">
      <w:pPr>
        <w:rPr>
          <w:b/>
          <w:bCs/>
        </w:rPr>
      </w:pPr>
      <w:r w:rsidRPr="006D71C0">
        <w:rPr>
          <w:b/>
          <w:bCs/>
        </w:rPr>
        <w:t xml:space="preserve">Module 3 Discussion: Preparedness to compete on Customer </w:t>
      </w:r>
      <w:proofErr w:type="gramStart"/>
      <w:r w:rsidRPr="006D71C0">
        <w:rPr>
          <w:b/>
          <w:bCs/>
        </w:rPr>
        <w:t>Journeys</w:t>
      </w:r>
      <w:proofErr w:type="gramEnd"/>
    </w:p>
    <w:p w14:paraId="0835F96B" w14:textId="77777777" w:rsidR="006D71C0" w:rsidRPr="006D71C0" w:rsidRDefault="006D71C0" w:rsidP="006D71C0">
      <w:pPr>
        <w:shd w:val="clear" w:color="auto" w:fill="FFFFFF"/>
        <w:spacing w:after="0" w:line="240" w:lineRule="auto"/>
        <w:rPr>
          <w:rFonts w:eastAsia="Times New Roman" w:cstheme="minorHAnsi"/>
          <w:color w:val="494C4E"/>
          <w:spacing w:val="3"/>
        </w:rPr>
      </w:pPr>
      <w:r w:rsidRPr="006D71C0">
        <w:rPr>
          <w:rFonts w:eastAsia="Times New Roman" w:cstheme="minorHAnsi"/>
          <w:color w:val="494C4E"/>
          <w:spacing w:val="3"/>
        </w:rPr>
        <w:t>I</w:t>
      </w:r>
      <w:r w:rsidRPr="006D71C0">
        <w:rPr>
          <w:rFonts w:eastAsia="Times New Roman" w:cstheme="minorHAnsi"/>
          <w:color w:val="494C4E"/>
          <w:spacing w:val="3"/>
          <w:bdr w:val="none" w:sz="0" w:space="0" w:color="auto" w:frame="1"/>
        </w:rPr>
        <w:t>n the article </w:t>
      </w:r>
      <w:hyperlink r:id="rId7" w:tgtFrame="_self" w:history="1">
        <w:r w:rsidRPr="006D71C0">
          <w:rPr>
            <w:rFonts w:eastAsia="Times New Roman" w:cstheme="minorHAnsi"/>
            <w:color w:val="006FBF"/>
            <w:spacing w:val="3"/>
            <w:u w:val="single"/>
            <w:bdr w:val="none" w:sz="0" w:space="0" w:color="auto" w:frame="1"/>
          </w:rPr>
          <w:t>"Competing on Customer Journeys,"</w:t>
        </w:r>
      </w:hyperlink>
      <w:r w:rsidRPr="006D71C0">
        <w:rPr>
          <w:rFonts w:eastAsia="Times New Roman" w:cstheme="minorHAnsi"/>
          <w:color w:val="494C4E"/>
          <w:spacing w:val="3"/>
          <w:bdr w:val="none" w:sz="0" w:space="0" w:color="auto" w:frame="1"/>
        </w:rPr>
        <w:t> David Edelman and Marc Singer identify four competencies marketers need to assist buyers as they move through their journey of making a buying decision and consuming. The four competencies are:</w:t>
      </w:r>
    </w:p>
    <w:p w14:paraId="19AE2762" w14:textId="77777777" w:rsidR="006D71C0" w:rsidRPr="006D71C0" w:rsidRDefault="006D71C0" w:rsidP="006D71C0">
      <w:pPr>
        <w:numPr>
          <w:ilvl w:val="0"/>
          <w:numId w:val="4"/>
        </w:numPr>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Automation</w:t>
      </w:r>
    </w:p>
    <w:p w14:paraId="4929A634" w14:textId="77777777" w:rsidR="006D71C0" w:rsidRPr="006D71C0" w:rsidRDefault="006D71C0" w:rsidP="006D71C0">
      <w:pPr>
        <w:numPr>
          <w:ilvl w:val="0"/>
          <w:numId w:val="4"/>
        </w:numPr>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Proactive personalization</w:t>
      </w:r>
    </w:p>
    <w:p w14:paraId="5DD9FD4B" w14:textId="77777777" w:rsidR="006D71C0" w:rsidRPr="006D71C0" w:rsidRDefault="006D71C0" w:rsidP="006D71C0">
      <w:pPr>
        <w:numPr>
          <w:ilvl w:val="0"/>
          <w:numId w:val="4"/>
        </w:numPr>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Contextual interaction</w:t>
      </w:r>
    </w:p>
    <w:p w14:paraId="0ED70F60" w14:textId="77777777" w:rsidR="006D71C0" w:rsidRPr="006D71C0" w:rsidRDefault="006D71C0" w:rsidP="006D71C0">
      <w:pPr>
        <w:numPr>
          <w:ilvl w:val="0"/>
          <w:numId w:val="4"/>
        </w:numPr>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Journey innovation</w:t>
      </w:r>
    </w:p>
    <w:p w14:paraId="6B758347" w14:textId="77777777" w:rsidR="006D71C0" w:rsidRPr="006D71C0" w:rsidRDefault="006D71C0" w:rsidP="006D71C0">
      <w:pPr>
        <w:shd w:val="clear" w:color="auto" w:fill="FFFFFF"/>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The authors suggest that marketing is generally reactive to customers' needs in the buying journey, but instead marketing can proactively add value throughout the buying process.</w:t>
      </w:r>
    </w:p>
    <w:p w14:paraId="163A3DD8" w14:textId="77777777" w:rsidR="006D71C0" w:rsidRPr="006D71C0" w:rsidRDefault="006D71C0" w:rsidP="006D71C0">
      <w:pPr>
        <w:numPr>
          <w:ilvl w:val="0"/>
          <w:numId w:val="5"/>
        </w:numPr>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Think about your experiences as a consumer. Identify a company that could benefit from implementing ideas from this article to add value to helping buyers through the customer journey.  Which of these competencies would be most valuable in this effort? Why?</w:t>
      </w:r>
    </w:p>
    <w:p w14:paraId="333A17A0" w14:textId="41A87CC4" w:rsidR="006D71C0" w:rsidRDefault="006D71C0"/>
    <w:p w14:paraId="77C747D0" w14:textId="331AE3E2" w:rsidR="006D71C0" w:rsidRDefault="006D71C0"/>
    <w:p w14:paraId="29A52F8B" w14:textId="411DA430" w:rsidR="006D71C0" w:rsidRDefault="006D71C0"/>
    <w:p w14:paraId="2930A439" w14:textId="77777777" w:rsidR="006D71C0" w:rsidRDefault="006D71C0"/>
    <w:p w14:paraId="376A3C2B" w14:textId="2D76A8E0" w:rsidR="006D71C0" w:rsidRPr="006D71C0" w:rsidRDefault="006D71C0">
      <w:pPr>
        <w:rPr>
          <w:b/>
          <w:bCs/>
        </w:rPr>
      </w:pPr>
      <w:r w:rsidRPr="006D71C0">
        <w:rPr>
          <w:b/>
          <w:bCs/>
        </w:rPr>
        <w:lastRenderedPageBreak/>
        <w:t>Module 3 Discussion: Influencing Customers through Certainty</w:t>
      </w:r>
    </w:p>
    <w:p w14:paraId="7AD17239" w14:textId="77777777" w:rsidR="006D71C0" w:rsidRPr="006D71C0" w:rsidRDefault="006D71C0" w:rsidP="006D71C0">
      <w:pPr>
        <w:shd w:val="clear" w:color="auto" w:fill="FFFFFF"/>
        <w:spacing w:after="0" w:line="240" w:lineRule="auto"/>
        <w:rPr>
          <w:rFonts w:eastAsia="Times New Roman" w:cstheme="minorHAnsi"/>
          <w:color w:val="494C4E"/>
          <w:spacing w:val="3"/>
        </w:rPr>
      </w:pPr>
      <w:r w:rsidRPr="006D71C0">
        <w:rPr>
          <w:rFonts w:eastAsia="Times New Roman" w:cstheme="minorHAnsi"/>
          <w:color w:val="494C4E"/>
          <w:spacing w:val="3"/>
          <w:bdr w:val="none" w:sz="0" w:space="0" w:color="auto" w:frame="1"/>
        </w:rPr>
        <w:t>In the article </w:t>
      </w:r>
      <w:hyperlink r:id="rId8" w:tgtFrame="_self" w:history="1">
        <w:r w:rsidRPr="006D71C0">
          <w:rPr>
            <w:rFonts w:eastAsia="Times New Roman" w:cstheme="minorHAnsi"/>
            <w:color w:val="006FBF"/>
            <w:spacing w:val="3"/>
            <w:u w:val="single"/>
            <w:bdr w:val="none" w:sz="0" w:space="0" w:color="auto" w:frame="1"/>
          </w:rPr>
          <w:t>"How Certainty Transforms Persuasion,"</w:t>
        </w:r>
      </w:hyperlink>
      <w:r w:rsidRPr="006D71C0">
        <w:rPr>
          <w:rFonts w:eastAsia="Times New Roman" w:cstheme="minorHAnsi"/>
          <w:color w:val="494C4E"/>
          <w:spacing w:val="3"/>
          <w:bdr w:val="none" w:sz="0" w:space="0" w:color="auto" w:frame="1"/>
        </w:rPr>
        <w:t xml:space="preserve"> Zakary </w:t>
      </w:r>
      <w:proofErr w:type="spellStart"/>
      <w:r w:rsidRPr="006D71C0">
        <w:rPr>
          <w:rFonts w:eastAsia="Times New Roman" w:cstheme="minorHAnsi"/>
          <w:color w:val="494C4E"/>
          <w:spacing w:val="3"/>
          <w:bdr w:val="none" w:sz="0" w:space="0" w:color="auto" w:frame="1"/>
        </w:rPr>
        <w:t>Tormala</w:t>
      </w:r>
      <w:proofErr w:type="spellEnd"/>
      <w:r w:rsidRPr="006D71C0">
        <w:rPr>
          <w:rFonts w:eastAsia="Times New Roman" w:cstheme="minorHAnsi"/>
          <w:color w:val="494C4E"/>
          <w:spacing w:val="3"/>
          <w:bdr w:val="none" w:sz="0" w:space="0" w:color="auto" w:frame="1"/>
        </w:rPr>
        <w:t xml:space="preserve"> and Derek Rucker assert that conviction is a powerful driver of action. Tapping into certainty others hold "turns attitudes into action, bringing beliefs to life and imbuing them with meaning and consequence." </w:t>
      </w:r>
    </w:p>
    <w:p w14:paraId="5017E27A" w14:textId="77777777" w:rsidR="006D71C0" w:rsidRPr="006D71C0" w:rsidRDefault="006D71C0" w:rsidP="006D71C0">
      <w:pPr>
        <w:numPr>
          <w:ilvl w:val="0"/>
          <w:numId w:val="6"/>
        </w:numPr>
        <w:spacing w:after="0" w:line="240" w:lineRule="auto"/>
        <w:rPr>
          <w:rFonts w:eastAsia="Times New Roman" w:cstheme="minorHAnsi"/>
          <w:color w:val="494C4E"/>
          <w:spacing w:val="3"/>
        </w:rPr>
      </w:pPr>
      <w:proofErr w:type="spellStart"/>
      <w:r w:rsidRPr="006D71C0">
        <w:rPr>
          <w:rFonts w:eastAsia="Times New Roman" w:cstheme="minorHAnsi"/>
          <w:color w:val="494C4E"/>
          <w:spacing w:val="3"/>
          <w:bdr w:val="none" w:sz="0" w:space="0" w:color="auto" w:frame="1"/>
        </w:rPr>
        <w:t>Tormala</w:t>
      </w:r>
      <w:proofErr w:type="spellEnd"/>
      <w:r w:rsidRPr="006D71C0">
        <w:rPr>
          <w:rFonts w:eastAsia="Times New Roman" w:cstheme="minorHAnsi"/>
          <w:color w:val="494C4E"/>
          <w:spacing w:val="3"/>
          <w:bdr w:val="none" w:sz="0" w:space="0" w:color="auto" w:frame="1"/>
        </w:rPr>
        <w:t xml:space="preserve"> and Rucker identify four levers of certainty: consensus, repetition, ease, and defense. Think of a situation in which you need to persuade someone in a business context- a customer or prospect, co-worker, or supervisor. Which of these four levers could be an effective means of influencing certainty about a decision in that person? What action(s) could you take to influence certainty in the beliefs held by the person?</w:t>
      </w:r>
    </w:p>
    <w:p w14:paraId="3C396880" w14:textId="77777777" w:rsidR="006D71C0" w:rsidRDefault="006D71C0"/>
    <w:sectPr w:rsidR="006D71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C72F2"/>
    <w:multiLevelType w:val="multilevel"/>
    <w:tmpl w:val="FCEC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51518E"/>
    <w:multiLevelType w:val="multilevel"/>
    <w:tmpl w:val="D3B8D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035F1D"/>
    <w:multiLevelType w:val="multilevel"/>
    <w:tmpl w:val="4C4ED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AD0F9E"/>
    <w:multiLevelType w:val="multilevel"/>
    <w:tmpl w:val="9FEA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B5269C6"/>
    <w:multiLevelType w:val="multilevel"/>
    <w:tmpl w:val="27C2C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192348"/>
    <w:multiLevelType w:val="multilevel"/>
    <w:tmpl w:val="8546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A90"/>
    <w:rsid w:val="006D71C0"/>
    <w:rsid w:val="00C05A90"/>
    <w:rsid w:val="00C13AF2"/>
    <w:rsid w:val="00CF7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37F2"/>
  <w15:chartTrackingRefBased/>
  <w15:docId w15:val="{CB2A4ACF-C393-4149-A091-DE9FF6F2C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05A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05A9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C05A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05A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59231">
      <w:bodyDiv w:val="1"/>
      <w:marLeft w:val="0"/>
      <w:marRight w:val="0"/>
      <w:marTop w:val="0"/>
      <w:marBottom w:val="0"/>
      <w:divBdr>
        <w:top w:val="none" w:sz="0" w:space="0" w:color="auto"/>
        <w:left w:val="none" w:sz="0" w:space="0" w:color="auto"/>
        <w:bottom w:val="none" w:sz="0" w:space="0" w:color="auto"/>
        <w:right w:val="none" w:sz="0" w:space="0" w:color="auto"/>
      </w:divBdr>
    </w:div>
    <w:div w:id="209348632">
      <w:bodyDiv w:val="1"/>
      <w:marLeft w:val="0"/>
      <w:marRight w:val="0"/>
      <w:marTop w:val="0"/>
      <w:marBottom w:val="0"/>
      <w:divBdr>
        <w:top w:val="none" w:sz="0" w:space="0" w:color="auto"/>
        <w:left w:val="none" w:sz="0" w:space="0" w:color="auto"/>
        <w:bottom w:val="none" w:sz="0" w:space="0" w:color="auto"/>
        <w:right w:val="none" w:sz="0" w:space="0" w:color="auto"/>
      </w:divBdr>
    </w:div>
    <w:div w:id="254945105">
      <w:bodyDiv w:val="1"/>
      <w:marLeft w:val="0"/>
      <w:marRight w:val="0"/>
      <w:marTop w:val="0"/>
      <w:marBottom w:val="0"/>
      <w:divBdr>
        <w:top w:val="none" w:sz="0" w:space="0" w:color="auto"/>
        <w:left w:val="none" w:sz="0" w:space="0" w:color="auto"/>
        <w:bottom w:val="none" w:sz="0" w:space="0" w:color="auto"/>
        <w:right w:val="none" w:sz="0" w:space="0" w:color="auto"/>
      </w:divBdr>
    </w:div>
    <w:div w:id="439178608">
      <w:bodyDiv w:val="1"/>
      <w:marLeft w:val="0"/>
      <w:marRight w:val="0"/>
      <w:marTop w:val="0"/>
      <w:marBottom w:val="0"/>
      <w:divBdr>
        <w:top w:val="none" w:sz="0" w:space="0" w:color="auto"/>
        <w:left w:val="none" w:sz="0" w:space="0" w:color="auto"/>
        <w:bottom w:val="none" w:sz="0" w:space="0" w:color="auto"/>
        <w:right w:val="none" w:sz="0" w:space="0" w:color="auto"/>
      </w:divBdr>
    </w:div>
    <w:div w:id="128499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arn.mtsu.edu/d2l/common/dialogs/quickLink/quickLink.d2l?ou=8316945&amp;type=coursefile&amp;fileId=HBR+Articles%2fHOW+CERTAINTY+TRANSFORMS+PERSUASION..pdf" TargetMode="External"/><Relationship Id="rId3" Type="http://schemas.openxmlformats.org/officeDocument/2006/relationships/settings" Target="settings.xml"/><Relationship Id="rId7" Type="http://schemas.openxmlformats.org/officeDocument/2006/relationships/hyperlink" Target="https://elearn.mtsu.edu/d2l/common/dialogs/quickLink/quickLink.d2l?ou=8316945&amp;type=content&amp;rcode=TBR-364740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usiness2community.com/customer-experience/customer-experience-new-competitive-advantage-01677039" TargetMode="External"/><Relationship Id="rId5" Type="http://schemas.openxmlformats.org/officeDocument/2006/relationships/hyperlink" Target="https://www.forbes.com/sites/nextavenue/2018/02/23/aging-populations-a-blessing-for-busines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 Morar</dc:creator>
  <cp:keywords/>
  <dc:description/>
  <cp:lastModifiedBy>Misha Morar</cp:lastModifiedBy>
  <cp:revision>3</cp:revision>
  <dcterms:created xsi:type="dcterms:W3CDTF">2020-10-27T15:10:00Z</dcterms:created>
  <dcterms:modified xsi:type="dcterms:W3CDTF">2020-10-27T15:42:00Z</dcterms:modified>
</cp:coreProperties>
</file>